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55C" w:rsidRPr="0059455C" w:rsidRDefault="0059455C" w:rsidP="0059455C">
      <w:pPr>
        <w:spacing w:after="0" w:line="240" w:lineRule="auto"/>
        <w:jc w:val="center"/>
        <w:rPr>
          <w:rFonts w:ascii="Arial" w:eastAsia="Arial" w:hAnsi="Arial" w:cs="Arial"/>
          <w:sz w:val="24"/>
          <w:szCs w:val="24"/>
        </w:rPr>
      </w:pPr>
      <w:r w:rsidRPr="0059455C">
        <w:rPr>
          <w:rFonts w:ascii="Arial" w:eastAsia="Arial" w:hAnsi="Arial" w:cs="Arial"/>
          <w:sz w:val="24"/>
          <w:szCs w:val="24"/>
        </w:rPr>
        <w:t>*</w:t>
      </w:r>
      <w:r w:rsidRPr="0059455C">
        <w:rPr>
          <w:rFonts w:ascii="Arial" w:eastAsia="Arial" w:hAnsi="Arial" w:cs="Arial"/>
          <w:sz w:val="24"/>
          <w:szCs w:val="24"/>
        </w:rPr>
        <w:tab/>
      </w:r>
      <w:r w:rsidRPr="0059455C">
        <w:rPr>
          <w:rFonts w:ascii="Arial" w:eastAsia="Arial" w:hAnsi="Arial" w:cs="Arial"/>
          <w:sz w:val="24"/>
          <w:szCs w:val="24"/>
        </w:rPr>
        <w:tab/>
        <w:t>USE IN CONJUNCTION WITH BID ITEM:</w:t>
      </w:r>
      <w:r w:rsidRPr="0059455C">
        <w:rPr>
          <w:rFonts w:ascii="Arial" w:eastAsia="Arial" w:hAnsi="Arial" w:cs="Arial"/>
          <w:sz w:val="24"/>
          <w:szCs w:val="24"/>
        </w:rPr>
        <w:tab/>
        <w:t>7010005</w:t>
      </w:r>
      <w:r w:rsidRPr="0059455C">
        <w:rPr>
          <w:rFonts w:ascii="Arial" w:eastAsia="Arial" w:hAnsi="Arial" w:cs="Arial"/>
          <w:sz w:val="24"/>
          <w:szCs w:val="24"/>
        </w:rPr>
        <w:tab/>
      </w:r>
      <w:r w:rsidRPr="0059455C">
        <w:rPr>
          <w:rFonts w:ascii="Arial" w:eastAsia="Arial" w:hAnsi="Arial" w:cs="Arial"/>
          <w:sz w:val="24"/>
          <w:szCs w:val="24"/>
        </w:rPr>
        <w:tab/>
        <w:t>*</w:t>
      </w:r>
    </w:p>
    <w:p w:rsidR="0059455C" w:rsidRPr="0059455C" w:rsidRDefault="0059455C" w:rsidP="0059455C">
      <w:pPr>
        <w:spacing w:after="0" w:line="240" w:lineRule="auto"/>
        <w:jc w:val="center"/>
        <w:rPr>
          <w:rFonts w:ascii="Arial" w:eastAsia="Arial" w:hAnsi="Arial" w:cs="Arial"/>
          <w:sz w:val="24"/>
          <w:szCs w:val="24"/>
        </w:rPr>
      </w:pPr>
    </w:p>
    <w:p w:rsidR="0059455C" w:rsidRPr="0059455C" w:rsidRDefault="0059455C" w:rsidP="0059455C">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24"/>
          <w:szCs w:val="24"/>
        </w:rPr>
      </w:pPr>
      <w:r w:rsidRPr="0059455C">
        <w:rPr>
          <w:rFonts w:ascii="Arial" w:eastAsia="Arial" w:hAnsi="Arial" w:cs="Arial"/>
          <w:color w:val="000000"/>
          <w:sz w:val="24"/>
          <w:szCs w:val="24"/>
        </w:rPr>
        <w:t xml:space="preserve">*** TEMPORARY STRIPING USED AS TRAFFIC CONTROL SHOULD BE PART OF THE COST OF THIS ITEM. 708 PAY ITEMS ARE ONLY FOR INTERIM STRIPING AND NOT TEMPORARY STRIPING. </w:t>
      </w:r>
      <w:r w:rsidRPr="0059455C">
        <w:rPr>
          <w:rFonts w:ascii="Arial" w:eastAsia="Arial" w:hAnsi="Arial" w:cs="Arial"/>
          <w:b/>
          <w:color w:val="FF0000"/>
          <w:sz w:val="24"/>
          <w:szCs w:val="24"/>
        </w:rPr>
        <w:t>DO NOT</w:t>
      </w:r>
      <w:r w:rsidRPr="0059455C">
        <w:rPr>
          <w:rFonts w:ascii="Arial" w:eastAsia="Arial" w:hAnsi="Arial" w:cs="Arial"/>
          <w:color w:val="FF0000"/>
          <w:sz w:val="24"/>
          <w:szCs w:val="24"/>
        </w:rPr>
        <w:t xml:space="preserve"> </w:t>
      </w:r>
      <w:r w:rsidRPr="0059455C">
        <w:rPr>
          <w:rFonts w:ascii="Arial" w:eastAsia="Arial" w:hAnsi="Arial" w:cs="Arial"/>
          <w:color w:val="000000"/>
          <w:sz w:val="24"/>
          <w:szCs w:val="24"/>
        </w:rPr>
        <w:t>INCLUDE THE QUANTITY OF TEMPORARY STRIPING IN 708 ITEMS. ***</w:t>
      </w:r>
    </w:p>
    <w:p w:rsidR="0059455C" w:rsidRPr="0059455C" w:rsidRDefault="0059455C" w:rsidP="0059455C">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24"/>
          <w:szCs w:val="24"/>
        </w:rPr>
      </w:pPr>
    </w:p>
    <w:p w:rsidR="0059455C" w:rsidRPr="0059455C" w:rsidRDefault="0059455C" w:rsidP="0059455C">
      <w:pPr>
        <w:pBdr>
          <w:top w:val="nil"/>
          <w:left w:val="nil"/>
          <w:bottom w:val="nil"/>
          <w:right w:val="nil"/>
          <w:between w:val="nil"/>
        </w:pBdr>
        <w:tabs>
          <w:tab w:val="center" w:pos="4320"/>
          <w:tab w:val="right" w:pos="8640"/>
        </w:tabs>
        <w:spacing w:after="0" w:line="240" w:lineRule="auto"/>
        <w:jc w:val="right"/>
        <w:rPr>
          <w:rFonts w:ascii="Arial" w:eastAsia="Arial" w:hAnsi="Arial" w:cs="Arial"/>
          <w:b/>
          <w:color w:val="000000"/>
          <w:sz w:val="24"/>
          <w:szCs w:val="24"/>
        </w:rPr>
      </w:pPr>
      <w:r w:rsidRPr="0059455C">
        <w:rPr>
          <w:rFonts w:ascii="Arial" w:eastAsia="Arial" w:hAnsi="Arial" w:cs="Arial"/>
          <w:b/>
          <w:color w:val="000000"/>
          <w:sz w:val="24"/>
          <w:szCs w:val="24"/>
        </w:rPr>
        <w:t xml:space="preserve">(701LUMPSUM, </w:t>
      </w:r>
      <w:r w:rsidR="000625C5">
        <w:rPr>
          <w:rFonts w:ascii="Arial" w:eastAsia="Arial" w:hAnsi="Arial" w:cs="Arial"/>
          <w:b/>
          <w:color w:val="000000"/>
          <w:sz w:val="24"/>
          <w:szCs w:val="24"/>
        </w:rPr>
        <w:t>03</w:t>
      </w:r>
      <w:r w:rsidRPr="0059455C">
        <w:rPr>
          <w:rFonts w:ascii="Arial" w:eastAsia="Arial" w:hAnsi="Arial" w:cs="Arial"/>
          <w:b/>
          <w:color w:val="000000"/>
          <w:sz w:val="24"/>
          <w:szCs w:val="24"/>
        </w:rPr>
        <w:t>/</w:t>
      </w:r>
      <w:r w:rsidR="000625C5">
        <w:rPr>
          <w:rFonts w:ascii="Arial" w:eastAsia="Arial" w:hAnsi="Arial" w:cs="Arial"/>
          <w:b/>
          <w:color w:val="000000"/>
          <w:sz w:val="24"/>
          <w:szCs w:val="24"/>
        </w:rPr>
        <w:t>20</w:t>
      </w:r>
      <w:r w:rsidRPr="0059455C">
        <w:rPr>
          <w:rFonts w:ascii="Arial" w:eastAsia="Arial" w:hAnsi="Arial" w:cs="Arial"/>
          <w:b/>
          <w:color w:val="000000"/>
          <w:sz w:val="24"/>
          <w:szCs w:val="24"/>
        </w:rPr>
        <w:t>/</w:t>
      </w:r>
      <w:r w:rsidR="000625C5">
        <w:rPr>
          <w:rFonts w:ascii="Arial" w:eastAsia="Arial" w:hAnsi="Arial" w:cs="Arial"/>
          <w:b/>
          <w:color w:val="000000"/>
          <w:sz w:val="24"/>
          <w:szCs w:val="24"/>
        </w:rPr>
        <w:t>25</w:t>
      </w:r>
      <w:r w:rsidRPr="0059455C">
        <w:rPr>
          <w:rFonts w:ascii="Arial" w:eastAsia="Arial" w:hAnsi="Arial" w:cs="Arial"/>
          <w:b/>
          <w:color w:val="000000"/>
          <w:sz w:val="24"/>
          <w:szCs w:val="24"/>
        </w:rPr>
        <w:t>)</w:t>
      </w:r>
    </w:p>
    <w:p w:rsidR="0059455C" w:rsidRPr="0059455C" w:rsidRDefault="0059455C" w:rsidP="0059455C">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24"/>
          <w:szCs w:val="24"/>
        </w:rPr>
      </w:pPr>
    </w:p>
    <w:p w:rsidR="0059455C" w:rsidRPr="0059455C" w:rsidRDefault="0059455C" w:rsidP="0059455C">
      <w:pPr>
        <w:tabs>
          <w:tab w:val="left" w:pos="720"/>
          <w:tab w:val="left" w:pos="1267"/>
          <w:tab w:val="left" w:pos="1886"/>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 xml:space="preserve">SECTION </w:t>
      </w:r>
      <w:proofErr w:type="gramStart"/>
      <w:r w:rsidRPr="0059455C">
        <w:rPr>
          <w:rFonts w:ascii="Arial" w:eastAsia="Arial" w:hAnsi="Arial" w:cs="Arial"/>
          <w:b/>
          <w:sz w:val="24"/>
          <w:szCs w:val="24"/>
        </w:rPr>
        <w:t>701</w:t>
      </w:r>
      <w:r w:rsidRPr="0059455C">
        <w:rPr>
          <w:rFonts w:ascii="Arial" w:eastAsia="Arial" w:hAnsi="Arial" w:cs="Arial"/>
          <w:sz w:val="24"/>
          <w:szCs w:val="24"/>
        </w:rPr>
        <w:t xml:space="preserve"> </w:t>
      </w:r>
      <w:r w:rsidRPr="0059455C">
        <w:rPr>
          <w:rFonts w:ascii="Arial" w:eastAsia="Arial" w:hAnsi="Arial" w:cs="Arial"/>
          <w:sz w:val="24"/>
          <w:szCs w:val="24"/>
        </w:rPr>
        <w:tab/>
      </w:r>
      <w:r w:rsidRPr="0059455C">
        <w:rPr>
          <w:rFonts w:ascii="Arial" w:eastAsia="Arial" w:hAnsi="Arial" w:cs="Arial"/>
          <w:b/>
          <w:sz w:val="24"/>
          <w:szCs w:val="24"/>
        </w:rPr>
        <w:t>MAINTENANCE</w:t>
      </w:r>
      <w:proofErr w:type="gramEnd"/>
      <w:r w:rsidRPr="0059455C">
        <w:rPr>
          <w:rFonts w:ascii="Arial" w:eastAsia="Arial" w:hAnsi="Arial" w:cs="Arial"/>
          <w:b/>
          <w:sz w:val="24"/>
          <w:szCs w:val="24"/>
        </w:rPr>
        <w:t xml:space="preserve"> AND PROTECTION OF TRAFFIC:</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bookmarkStart w:id="0" w:name="_GoBack"/>
      <w:bookmarkEnd w:id="0"/>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sz w:val="24"/>
          <w:szCs w:val="24"/>
        </w:rPr>
      </w:pPr>
      <w:r w:rsidRPr="0059455C">
        <w:rPr>
          <w:rFonts w:ascii="Arial" w:eastAsia="Arial" w:hAnsi="Arial" w:cs="Arial"/>
          <w:b/>
          <w:sz w:val="24"/>
          <w:szCs w:val="24"/>
        </w:rPr>
        <w:t>701-1</w:t>
      </w:r>
      <w:r w:rsidRPr="0059455C">
        <w:rPr>
          <w:rFonts w:ascii="Arial" w:eastAsia="Arial" w:hAnsi="Arial" w:cs="Arial"/>
          <w:b/>
          <w:sz w:val="24"/>
          <w:szCs w:val="24"/>
        </w:rPr>
        <w:tab/>
      </w:r>
      <w:r w:rsidRPr="0059455C">
        <w:rPr>
          <w:rFonts w:ascii="Arial" w:eastAsia="Arial" w:hAnsi="Arial" w:cs="Arial"/>
          <w:b/>
          <w:sz w:val="24"/>
          <w:szCs w:val="24"/>
        </w:rPr>
        <w:tab/>
      </w:r>
      <w:r w:rsidRPr="0059455C">
        <w:rPr>
          <w:rFonts w:ascii="Arial" w:eastAsia="Arial" w:hAnsi="Arial" w:cs="Arial"/>
          <w:b/>
          <w:sz w:val="24"/>
          <w:szCs w:val="24"/>
        </w:rPr>
        <w:tab/>
        <w:t xml:space="preserve">Description:  </w:t>
      </w:r>
      <w:r w:rsidRPr="0059455C">
        <w:rPr>
          <w:rFonts w:ascii="Arial" w:eastAsia="Arial" w:hAnsi="Arial" w:cs="Arial"/>
          <w:sz w:val="24"/>
          <w:szCs w:val="24"/>
        </w:rPr>
        <w:t>the first paragraph of the Standard Specifications is revised to read:</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The work under this section shall consist of providing flagging services and pilot trucks, and furnishing, installing, maintaining, moving and removing barricades, warning signs, lights, signals, cones, temporary pavement markings and other traffic control devices to provide safe and efficient passage through and/or around the work and to protect workers in or adjacent to the work zone.  The work shall be done in accordance with the requirements of Part 6 of the Manual on Uniform Traffic Control Devices (MUTCD) and the associated Arizona Department of Transportation supplement.  When referred to herein, these documents will be referred to as MUTCD and associated ADOT Supplement.</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sz w:val="24"/>
          <w:szCs w:val="24"/>
        </w:rPr>
      </w:pPr>
      <w:r w:rsidRPr="0059455C">
        <w:rPr>
          <w:rFonts w:ascii="Arial" w:eastAsia="Arial" w:hAnsi="Arial" w:cs="Arial"/>
          <w:b/>
          <w:sz w:val="24"/>
          <w:szCs w:val="24"/>
        </w:rPr>
        <w:t>701-1</w:t>
      </w:r>
      <w:r w:rsidRPr="0059455C">
        <w:rPr>
          <w:rFonts w:ascii="Arial" w:eastAsia="Arial" w:hAnsi="Arial" w:cs="Arial"/>
          <w:b/>
          <w:sz w:val="24"/>
          <w:szCs w:val="24"/>
        </w:rPr>
        <w:tab/>
      </w:r>
      <w:r w:rsidRPr="0059455C">
        <w:rPr>
          <w:rFonts w:ascii="Arial" w:eastAsia="Arial" w:hAnsi="Arial" w:cs="Arial"/>
          <w:b/>
          <w:sz w:val="24"/>
          <w:szCs w:val="24"/>
        </w:rPr>
        <w:tab/>
      </w:r>
      <w:r w:rsidRPr="0059455C">
        <w:rPr>
          <w:rFonts w:ascii="Arial" w:eastAsia="Arial" w:hAnsi="Arial" w:cs="Arial"/>
          <w:b/>
          <w:sz w:val="24"/>
          <w:szCs w:val="24"/>
        </w:rPr>
        <w:tab/>
        <w:t xml:space="preserve">Description:  </w:t>
      </w:r>
      <w:r w:rsidRPr="0059455C">
        <w:rPr>
          <w:rFonts w:ascii="Arial" w:eastAsia="Arial" w:hAnsi="Arial" w:cs="Arial"/>
          <w:sz w:val="24"/>
          <w:szCs w:val="24"/>
        </w:rPr>
        <w:t xml:space="preserve">the third paragraph of the Standard Specifications is revised </w:t>
      </w:r>
      <w:proofErr w:type="gramStart"/>
      <w:r w:rsidRPr="0059455C">
        <w:rPr>
          <w:rFonts w:ascii="Arial" w:eastAsia="Arial" w:hAnsi="Arial" w:cs="Arial"/>
          <w:sz w:val="24"/>
          <w:szCs w:val="24"/>
        </w:rPr>
        <w:t>to</w:t>
      </w:r>
      <w:proofErr w:type="gramEnd"/>
      <w:r w:rsidRPr="0059455C">
        <w:rPr>
          <w:rFonts w:ascii="Arial" w:eastAsia="Arial" w:hAnsi="Arial" w:cs="Arial"/>
          <w:sz w:val="24"/>
          <w:szCs w:val="24"/>
        </w:rPr>
        <w:t xml:space="preserve"> read:</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Any traffic control plan included in the project plans shall govern unless an alternate plan, acceptable to the Engineer, is submitted by the contractor.  If no traffic control plan is provided or if the contractor desires to deviate from the provisions for maintaining traffic as described in this section, it shall submit to the Engineer for the approval of a proposed sequence of operations and a compatible method of maintaining traffic.</w:t>
      </w:r>
    </w:p>
    <w:p w:rsidR="0059455C" w:rsidRPr="0059455C" w:rsidRDefault="0059455C" w:rsidP="0059455C">
      <w:pPr>
        <w:tabs>
          <w:tab w:val="left" w:pos="720"/>
          <w:tab w:val="left" w:pos="1267"/>
          <w:tab w:val="left" w:pos="2434"/>
          <w:tab w:val="left" w:pos="2880"/>
        </w:tabs>
        <w:spacing w:after="0" w:line="240" w:lineRule="auto"/>
        <w:jc w:val="both"/>
        <w:rPr>
          <w:rFonts w:ascii="Arial" w:eastAsia="Arial" w:hAnsi="Arial" w:cs="Arial"/>
          <w:strike/>
          <w:sz w:val="24"/>
          <w:szCs w:val="24"/>
        </w:rPr>
      </w:pPr>
    </w:p>
    <w:p w:rsidR="0059455C" w:rsidRPr="0059455C" w:rsidRDefault="0059455C" w:rsidP="0059455C">
      <w:pPr>
        <w:tabs>
          <w:tab w:val="left" w:pos="720"/>
          <w:tab w:val="left" w:pos="1267"/>
          <w:tab w:val="left" w:pos="1886"/>
          <w:tab w:val="left" w:pos="2880"/>
        </w:tabs>
        <w:spacing w:after="0" w:line="240" w:lineRule="auto"/>
        <w:ind w:left="1440" w:hanging="1440"/>
        <w:jc w:val="both"/>
        <w:rPr>
          <w:rFonts w:ascii="Arial" w:eastAsia="Arial" w:hAnsi="Arial" w:cs="Arial"/>
          <w:sz w:val="24"/>
          <w:szCs w:val="24"/>
        </w:rPr>
      </w:pPr>
      <w:r w:rsidRPr="0059455C">
        <w:rPr>
          <w:rFonts w:ascii="Arial" w:eastAsia="Arial" w:hAnsi="Arial" w:cs="Arial"/>
          <w:b/>
          <w:sz w:val="24"/>
          <w:szCs w:val="24"/>
        </w:rPr>
        <w:t>701-3.01</w:t>
      </w:r>
      <w:r w:rsidRPr="0059455C">
        <w:rPr>
          <w:rFonts w:ascii="Arial" w:eastAsia="Arial" w:hAnsi="Arial" w:cs="Arial"/>
          <w:b/>
          <w:sz w:val="24"/>
          <w:szCs w:val="24"/>
        </w:rPr>
        <w:tab/>
      </w:r>
      <w:r w:rsidRPr="0059455C">
        <w:rPr>
          <w:rFonts w:ascii="Arial" w:eastAsia="Arial" w:hAnsi="Arial" w:cs="Arial"/>
          <w:b/>
          <w:sz w:val="24"/>
          <w:szCs w:val="24"/>
        </w:rPr>
        <w:tab/>
      </w:r>
      <w:r w:rsidRPr="0059455C">
        <w:rPr>
          <w:rFonts w:ascii="Arial" w:eastAsia="Arial" w:hAnsi="Arial" w:cs="Arial"/>
          <w:b/>
          <w:sz w:val="24"/>
          <w:szCs w:val="24"/>
        </w:rPr>
        <w:tab/>
        <w:t xml:space="preserve">General: </w:t>
      </w:r>
      <w:r w:rsidRPr="0059455C">
        <w:rPr>
          <w:rFonts w:ascii="Arial" w:eastAsia="Arial" w:hAnsi="Arial" w:cs="Arial"/>
          <w:sz w:val="24"/>
          <w:szCs w:val="24"/>
        </w:rPr>
        <w:t>of the Standard Specifications is modified to add:</w:t>
      </w:r>
    </w:p>
    <w:p w:rsidR="0059455C" w:rsidRPr="0059455C" w:rsidRDefault="0059455C" w:rsidP="0059455C">
      <w:pPr>
        <w:tabs>
          <w:tab w:val="left" w:pos="720"/>
          <w:tab w:val="left" w:pos="1267"/>
          <w:tab w:val="left" w:pos="1886"/>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 xml:space="preserve">At the preconstruction conference the contractor shall submit a log of all existing signs within the limits of the construction zone.  The Department will verify the accuracy of the sign log.  Throughout the duration of this project, all existing traffic signs shall be maintained by the contractor in accordance with Subsection 701-3.11 of the specifications.  </w:t>
      </w:r>
    </w:p>
    <w:p w:rsidR="0059455C" w:rsidRPr="0059455C" w:rsidRDefault="0059455C" w:rsidP="0059455C">
      <w:pPr>
        <w:tabs>
          <w:tab w:val="left" w:pos="720"/>
          <w:tab w:val="left" w:pos="1267"/>
          <w:tab w:val="left" w:pos="1886"/>
          <w:tab w:val="left" w:pos="2880"/>
        </w:tabs>
        <w:spacing w:after="0" w:line="240" w:lineRule="auto"/>
        <w:jc w:val="both"/>
        <w:rPr>
          <w:rFonts w:ascii="Arial" w:eastAsia="Arial" w:hAnsi="Arial" w:cs="Arial"/>
          <w:sz w:val="24"/>
          <w:szCs w:val="24"/>
        </w:rPr>
      </w:pP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 xml:space="preserve">The contractor shall coordinate all traffic control work on this project with any adjoining or overlapping projects during the construction activities.  This may include barricade placement necessary to provide a uniform traffic progress.  </w:t>
      </w:r>
    </w:p>
    <w:p w:rsidR="0059455C" w:rsidRPr="0059455C" w:rsidRDefault="0059455C" w:rsidP="0059455C">
      <w:pPr>
        <w:tabs>
          <w:tab w:val="left" w:pos="720"/>
          <w:tab w:val="left" w:pos="1267"/>
          <w:tab w:val="left" w:pos="1886"/>
          <w:tab w:val="left" w:pos="2880"/>
        </w:tabs>
        <w:spacing w:after="0" w:line="240" w:lineRule="auto"/>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b/>
          <w:sz w:val="24"/>
          <w:szCs w:val="24"/>
        </w:rPr>
      </w:pPr>
      <w:r w:rsidRPr="0059455C">
        <w:rPr>
          <w:rFonts w:ascii="Arial" w:eastAsia="Arial" w:hAnsi="Arial" w:cs="Arial"/>
          <w:b/>
          <w:sz w:val="24"/>
          <w:szCs w:val="24"/>
        </w:rPr>
        <w:t>701-4.01</w:t>
      </w:r>
      <w:r w:rsidRPr="0059455C">
        <w:rPr>
          <w:rFonts w:ascii="Arial" w:eastAsia="Arial" w:hAnsi="Arial" w:cs="Arial"/>
          <w:b/>
          <w:sz w:val="24"/>
          <w:szCs w:val="24"/>
        </w:rPr>
        <w:tab/>
      </w:r>
      <w:r w:rsidRPr="0059455C">
        <w:rPr>
          <w:rFonts w:ascii="Arial" w:eastAsia="Arial" w:hAnsi="Arial" w:cs="Arial"/>
          <w:b/>
          <w:sz w:val="24"/>
          <w:szCs w:val="24"/>
        </w:rPr>
        <w:tab/>
        <w:t xml:space="preserve">General:  </w:t>
      </w:r>
      <w:r w:rsidRPr="0059455C">
        <w:rPr>
          <w:rFonts w:ascii="Arial" w:eastAsia="Arial" w:hAnsi="Arial" w:cs="Arial"/>
          <w:sz w:val="24"/>
          <w:szCs w:val="24"/>
        </w:rPr>
        <w:t>the first paragraph of the Standard Specifications is revised to read:</w:t>
      </w:r>
    </w:p>
    <w:p w:rsidR="0059455C" w:rsidRPr="0059455C" w:rsidRDefault="0059455C" w:rsidP="0059455C">
      <w:pPr>
        <w:tabs>
          <w:tab w:val="left" w:pos="720"/>
          <w:tab w:val="left" w:pos="1267"/>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0"/>
          <w:tab w:val="left" w:pos="1267"/>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lastRenderedPageBreak/>
        <w:t>The Department will reimburse the contractor for the work of maintaining and protecting traffic on a lump sum basis except for the following Elements of Work:</w:t>
      </w:r>
    </w:p>
    <w:p w:rsidR="0059455C" w:rsidRPr="0059455C" w:rsidRDefault="0059455C" w:rsidP="0059455C">
      <w:pPr>
        <w:tabs>
          <w:tab w:val="left" w:pos="720"/>
          <w:tab w:val="left" w:pos="1267"/>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Changeable Message Boards</w:t>
      </w: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Temporary Impact Attenuation Devices</w:t>
      </w: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Temporary Concrete Barrier</w:t>
      </w: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Specialty Signs</w:t>
      </w:r>
    </w:p>
    <w:p w:rsidR="0059455C" w:rsidRPr="00BA6AD2" w:rsidRDefault="00BA6AD2"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Pr>
          <w:rFonts w:ascii="Arial" w:eastAsia="Arial" w:hAnsi="Arial" w:cs="Arial"/>
          <w:color w:val="000000"/>
          <w:sz w:val="24"/>
          <w:szCs w:val="24"/>
        </w:rPr>
        <w:t>Local</w:t>
      </w:r>
      <w:r w:rsidRPr="0059455C">
        <w:rPr>
          <w:rFonts w:ascii="Arial" w:eastAsia="Arial" w:hAnsi="Arial" w:cs="Arial"/>
          <w:color w:val="000000"/>
          <w:sz w:val="24"/>
          <w:szCs w:val="24"/>
        </w:rPr>
        <w:t xml:space="preserve"> </w:t>
      </w:r>
      <w:r w:rsidR="0059455C" w:rsidRPr="0059455C">
        <w:rPr>
          <w:rFonts w:ascii="Arial" w:eastAsia="Arial" w:hAnsi="Arial" w:cs="Arial"/>
          <w:color w:val="000000"/>
          <w:sz w:val="24"/>
          <w:szCs w:val="24"/>
        </w:rPr>
        <w:t>Enforcement Officers</w:t>
      </w:r>
    </w:p>
    <w:p w:rsidR="00BA6AD2" w:rsidRPr="0059455C" w:rsidRDefault="00BA6AD2"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Pr>
          <w:rFonts w:ascii="Arial" w:eastAsia="Arial" w:hAnsi="Arial" w:cs="Arial"/>
          <w:color w:val="000000"/>
          <w:sz w:val="24"/>
          <w:szCs w:val="24"/>
        </w:rPr>
        <w:t>DPS Officers</w:t>
      </w:r>
    </w:p>
    <w:p w:rsidR="0059455C" w:rsidRPr="0059455C" w:rsidRDefault="00BA6AD2"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Pr>
          <w:rFonts w:ascii="Arial" w:eastAsia="Arial" w:hAnsi="Arial" w:cs="Arial"/>
          <w:color w:val="000000"/>
          <w:sz w:val="24"/>
          <w:szCs w:val="24"/>
        </w:rPr>
        <w:t xml:space="preserve">Civilian </w:t>
      </w:r>
      <w:r w:rsidR="0059455C" w:rsidRPr="0059455C">
        <w:rPr>
          <w:rFonts w:ascii="Arial" w:eastAsia="Arial" w:hAnsi="Arial" w:cs="Arial"/>
          <w:color w:val="000000"/>
          <w:sz w:val="24"/>
          <w:szCs w:val="24"/>
        </w:rPr>
        <w:t>Flaggers</w:t>
      </w: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Pilot Vehicles</w:t>
      </w:r>
    </w:p>
    <w:p w:rsidR="0059455C" w:rsidRPr="0059455C" w:rsidRDefault="0059455C" w:rsidP="0059455C">
      <w:pPr>
        <w:numPr>
          <w:ilvl w:val="0"/>
          <w:numId w:val="1"/>
        </w:numPr>
        <w:pBdr>
          <w:top w:val="nil"/>
          <w:left w:val="nil"/>
          <w:bottom w:val="nil"/>
          <w:right w:val="nil"/>
          <w:between w:val="nil"/>
        </w:pBdr>
        <w:tabs>
          <w:tab w:val="left" w:pos="720"/>
          <w:tab w:val="left" w:pos="1267"/>
          <w:tab w:val="left" w:pos="1886"/>
          <w:tab w:val="left" w:pos="2434"/>
          <w:tab w:val="left" w:pos="2880"/>
        </w:tabs>
        <w:spacing w:after="0" w:line="240" w:lineRule="auto"/>
        <w:ind w:left="1260" w:hanging="540"/>
        <w:jc w:val="both"/>
        <w:rPr>
          <w:rFonts w:ascii="Arial" w:eastAsia="Arial" w:hAnsi="Arial" w:cs="Arial"/>
          <w:sz w:val="24"/>
          <w:szCs w:val="24"/>
        </w:rPr>
      </w:pPr>
      <w:r w:rsidRPr="0059455C">
        <w:rPr>
          <w:rFonts w:ascii="Arial" w:eastAsia="Arial" w:hAnsi="Arial" w:cs="Arial"/>
          <w:color w:val="000000"/>
          <w:sz w:val="24"/>
          <w:szCs w:val="24"/>
        </w:rPr>
        <w:t>Truck-Mounted and Trailer-Mounted Attenuators</w:t>
      </w:r>
    </w:p>
    <w:p w:rsidR="0059455C" w:rsidRPr="0059455C" w:rsidRDefault="0059455C" w:rsidP="0059455C">
      <w:pPr>
        <w:tabs>
          <w:tab w:val="left" w:pos="720"/>
          <w:tab w:val="left" w:pos="1267"/>
          <w:tab w:val="left" w:pos="1886"/>
          <w:tab w:val="left" w:pos="2434"/>
          <w:tab w:val="left" w:pos="2880"/>
        </w:tabs>
        <w:spacing w:after="0" w:line="240" w:lineRule="auto"/>
        <w:ind w:left="360"/>
        <w:jc w:val="both"/>
        <w:rPr>
          <w:rFonts w:ascii="Arial" w:eastAsia="Arial" w:hAnsi="Arial" w:cs="Arial"/>
          <w:sz w:val="24"/>
          <w:szCs w:val="24"/>
        </w:rPr>
      </w:pPr>
    </w:p>
    <w:p w:rsidR="0059455C" w:rsidRPr="0059455C" w:rsidRDefault="0059455C" w:rsidP="0059455C">
      <w:pPr>
        <w:tabs>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No additional measurement for payment to the contractor will be made for any Elements of Work other than those listed above.</w:t>
      </w:r>
    </w:p>
    <w:p w:rsidR="0059455C" w:rsidRPr="0059455C" w:rsidRDefault="0059455C" w:rsidP="0059455C">
      <w:pPr>
        <w:tabs>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890"/>
          <w:tab w:val="left" w:pos="2880"/>
        </w:tabs>
        <w:spacing w:after="0" w:line="240" w:lineRule="auto"/>
        <w:ind w:left="1890" w:hanging="1890"/>
        <w:jc w:val="both"/>
        <w:rPr>
          <w:rFonts w:ascii="Arial" w:eastAsia="Arial" w:hAnsi="Arial" w:cs="Arial"/>
          <w:b/>
          <w:sz w:val="24"/>
          <w:szCs w:val="24"/>
        </w:rPr>
      </w:pPr>
      <w:r w:rsidRPr="0059455C">
        <w:rPr>
          <w:rFonts w:ascii="Arial" w:eastAsia="Arial" w:hAnsi="Arial" w:cs="Arial"/>
          <w:b/>
          <w:sz w:val="24"/>
          <w:szCs w:val="24"/>
        </w:rPr>
        <w:t>701-4.01</w:t>
      </w:r>
      <w:r w:rsidRPr="0059455C">
        <w:rPr>
          <w:rFonts w:ascii="Arial" w:eastAsia="Arial" w:hAnsi="Arial" w:cs="Arial"/>
          <w:b/>
          <w:sz w:val="24"/>
          <w:szCs w:val="24"/>
        </w:rPr>
        <w:tab/>
        <w:t xml:space="preserve">General:  </w:t>
      </w:r>
      <w:r w:rsidRPr="0059455C">
        <w:rPr>
          <w:rFonts w:ascii="Arial" w:eastAsia="Arial" w:hAnsi="Arial" w:cs="Arial"/>
          <w:sz w:val="24"/>
          <w:szCs w:val="24"/>
        </w:rPr>
        <w:t>the first sentence of the third paragraph of the Standard Specifications is revised to read:</w:t>
      </w:r>
    </w:p>
    <w:p w:rsidR="0059455C" w:rsidRPr="0059455C" w:rsidRDefault="0059455C" w:rsidP="0059455C">
      <w:pPr>
        <w:tabs>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Elements of Work except those reimbursed under the lump sum item will be measured for payment as follows:</w:t>
      </w:r>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i/>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sz w:val="24"/>
          <w:szCs w:val="24"/>
        </w:rPr>
      </w:pPr>
      <w:r w:rsidRPr="0059455C">
        <w:rPr>
          <w:rFonts w:ascii="Arial" w:eastAsia="Arial" w:hAnsi="Arial" w:cs="Arial"/>
          <w:b/>
          <w:sz w:val="24"/>
          <w:szCs w:val="24"/>
        </w:rPr>
        <w:t>701-4.03(E)</w:t>
      </w:r>
      <w:r w:rsidRPr="0059455C">
        <w:rPr>
          <w:rFonts w:ascii="Arial" w:eastAsia="Arial" w:hAnsi="Arial" w:cs="Arial"/>
          <w:b/>
          <w:sz w:val="24"/>
          <w:szCs w:val="24"/>
        </w:rPr>
        <w:tab/>
        <w:t>Limitation of Measurement:</w:t>
      </w:r>
      <w:r w:rsidRPr="0059455C">
        <w:rPr>
          <w:rFonts w:ascii="Arial" w:eastAsia="Arial" w:hAnsi="Arial" w:cs="Arial"/>
          <w:sz w:val="24"/>
          <w:szCs w:val="24"/>
        </w:rPr>
        <w:t xml:space="preserve">  the second paragraph of the Standard Specifications is revised to read:</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For all items except those reimbursed under the lump sum item, measurement will be made after the initial installation and once weekly thereafter for items in continuous use and at any other times changes are made in the use of traffic control elements listed under Subsection 701-4.01(B) of the specifications.  The contractor shall notify the Engineer when any changes are made in the use or location of traffic control elements.</w:t>
      </w:r>
    </w:p>
    <w:p w:rsidR="0059455C" w:rsidRPr="0059455C" w:rsidRDefault="0059455C" w:rsidP="0059455C">
      <w:pPr>
        <w:spacing w:after="0" w:line="240" w:lineRule="auto"/>
        <w:jc w:val="both"/>
        <w:rPr>
          <w:rFonts w:ascii="Arial" w:eastAsia="Arial" w:hAnsi="Arial" w:cs="Arial"/>
          <w:sz w:val="24"/>
          <w:szCs w:val="24"/>
          <w:u w:val="single"/>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701-4.04</w:t>
      </w:r>
      <w:r w:rsidRPr="0059455C">
        <w:rPr>
          <w:rFonts w:ascii="Arial" w:eastAsia="Arial" w:hAnsi="Arial" w:cs="Arial"/>
          <w:b/>
          <w:sz w:val="24"/>
          <w:szCs w:val="24"/>
        </w:rPr>
        <w:tab/>
      </w:r>
      <w:r w:rsidRPr="0059455C">
        <w:rPr>
          <w:rFonts w:ascii="Arial" w:eastAsia="Arial" w:hAnsi="Arial" w:cs="Arial"/>
          <w:b/>
          <w:sz w:val="24"/>
          <w:szCs w:val="24"/>
        </w:rPr>
        <w:tab/>
        <w:t>Measurement of Work Elements:</w:t>
      </w:r>
      <w:r w:rsidRPr="0059455C">
        <w:rPr>
          <w:rFonts w:ascii="Arial" w:eastAsia="Arial" w:hAnsi="Arial" w:cs="Arial"/>
          <w:sz w:val="24"/>
          <w:szCs w:val="24"/>
        </w:rPr>
        <w:t xml:space="preserve">  Sub-paragraphs (D), (G), (H), (J), (K), (L), and (N) of the Standard Specifications are hereby deleted.</w:t>
      </w:r>
    </w:p>
    <w:p w:rsidR="0059455C" w:rsidRPr="0059455C" w:rsidRDefault="0059455C" w:rsidP="0059455C">
      <w:pPr>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r w:rsidRPr="0059455C">
        <w:rPr>
          <w:rFonts w:ascii="Arial" w:eastAsia="Arial" w:hAnsi="Arial" w:cs="Arial"/>
          <w:b/>
          <w:sz w:val="24"/>
          <w:szCs w:val="24"/>
        </w:rPr>
        <w:t>701-5</w:t>
      </w:r>
      <w:r w:rsidRPr="0059455C">
        <w:rPr>
          <w:rFonts w:ascii="Arial" w:eastAsia="Arial" w:hAnsi="Arial" w:cs="Arial"/>
          <w:b/>
          <w:sz w:val="24"/>
          <w:szCs w:val="24"/>
        </w:rPr>
        <w:tab/>
      </w:r>
      <w:r w:rsidRPr="0059455C">
        <w:rPr>
          <w:rFonts w:ascii="Arial" w:eastAsia="Arial" w:hAnsi="Arial" w:cs="Arial"/>
          <w:b/>
          <w:sz w:val="24"/>
          <w:szCs w:val="24"/>
        </w:rPr>
        <w:tab/>
      </w:r>
      <w:r w:rsidRPr="0059455C">
        <w:rPr>
          <w:rFonts w:ascii="Arial" w:eastAsia="Arial" w:hAnsi="Arial" w:cs="Arial"/>
          <w:b/>
          <w:sz w:val="24"/>
          <w:szCs w:val="24"/>
        </w:rPr>
        <w:tab/>
        <w:t xml:space="preserve">Basis of Payment for Elements of Work (Complete–in-Place): </w:t>
      </w:r>
      <w:r w:rsidRPr="0059455C">
        <w:rPr>
          <w:rFonts w:ascii="Arial" w:eastAsia="Arial" w:hAnsi="Arial" w:cs="Arial"/>
          <w:sz w:val="24"/>
          <w:szCs w:val="24"/>
        </w:rPr>
        <w:t>of the Standard Specifications is modified to add: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All elements of work necessary for the work of maintaining and protecting traffic, excluding Elements of Work listed in Subsection 701-4.01 of the specifications, shall be reimbursed as a single, complete item of work, which price shall be considered full compensation for the work, complete in place, including furnishing, removing, setting up, relocating, taking down, maintaining, and storing the devices.</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2434"/>
          <w:tab w:val="left" w:pos="2880"/>
        </w:tabs>
        <w:spacing w:after="0" w:line="240" w:lineRule="auto"/>
        <w:ind w:firstLine="4"/>
        <w:jc w:val="both"/>
        <w:rPr>
          <w:rFonts w:ascii="Arial" w:eastAsia="Arial" w:hAnsi="Arial" w:cs="Arial"/>
          <w:sz w:val="24"/>
          <w:szCs w:val="24"/>
        </w:rPr>
      </w:pPr>
      <w:r w:rsidRPr="0059455C">
        <w:rPr>
          <w:rFonts w:ascii="Arial" w:eastAsia="Arial" w:hAnsi="Arial" w:cs="Arial"/>
          <w:sz w:val="24"/>
          <w:szCs w:val="24"/>
        </w:rPr>
        <w:t>Lump sum traffic control will be paid according to the schedule shown in Table 701-5 of the specifications.</w:t>
      </w:r>
    </w:p>
    <w:p w:rsidR="0059455C" w:rsidRPr="0059455C" w:rsidRDefault="0059455C" w:rsidP="0059455C">
      <w:pPr>
        <w:spacing w:after="0" w:line="240" w:lineRule="auto"/>
        <w:rPr>
          <w:rFonts w:ascii="Arial" w:eastAsia="Arial" w:hAnsi="Arial" w:cs="Arial"/>
          <w:sz w:val="24"/>
          <w:szCs w:val="24"/>
        </w:rPr>
      </w:pPr>
    </w:p>
    <w:tbl>
      <w:tblPr>
        <w:tblW w:w="8712" w:type="dxa"/>
        <w:jc w:val="center"/>
        <w:tblLayout w:type="fixed"/>
        <w:tblLook w:val="0400" w:firstRow="0" w:lastRow="0" w:firstColumn="0" w:lastColumn="0" w:noHBand="0" w:noVBand="1"/>
      </w:tblPr>
      <w:tblGrid>
        <w:gridCol w:w="4320"/>
        <w:gridCol w:w="4392"/>
      </w:tblGrid>
      <w:tr w:rsidR="0059455C" w:rsidRPr="0059455C" w:rsidTr="005345E1">
        <w:trPr>
          <w:trHeight w:val="645"/>
          <w:jc w:val="center"/>
        </w:trPr>
        <w:tc>
          <w:tcPr>
            <w:tcW w:w="8712" w:type="dxa"/>
            <w:gridSpan w:val="2"/>
            <w:tcBorders>
              <w:top w:val="single" w:sz="12" w:space="0" w:color="000000"/>
              <w:left w:val="single" w:sz="12" w:space="0" w:color="000000"/>
              <w:bottom w:val="single" w:sz="12" w:space="0" w:color="000000"/>
              <w:right w:val="single" w:sz="12" w:space="0" w:color="000000"/>
            </w:tcBorders>
          </w:tcPr>
          <w:p w:rsidR="0059455C" w:rsidRPr="0059455C" w:rsidRDefault="0059455C" w:rsidP="0059455C">
            <w:pPr>
              <w:spacing w:after="0" w:line="240" w:lineRule="auto"/>
              <w:jc w:val="center"/>
              <w:rPr>
                <w:rFonts w:ascii="Arial" w:eastAsia="Arial" w:hAnsi="Arial" w:cs="Arial"/>
                <w:b/>
                <w:sz w:val="24"/>
                <w:szCs w:val="24"/>
              </w:rPr>
            </w:pPr>
            <w:r w:rsidRPr="0059455C">
              <w:rPr>
                <w:rFonts w:ascii="Arial" w:eastAsia="Arial" w:hAnsi="Arial" w:cs="Arial"/>
                <w:b/>
                <w:sz w:val="24"/>
                <w:szCs w:val="24"/>
              </w:rPr>
              <w:lastRenderedPageBreak/>
              <w:t>Table 701-5</w:t>
            </w:r>
          </w:p>
          <w:p w:rsidR="0059455C" w:rsidRPr="0059455C" w:rsidRDefault="0059455C" w:rsidP="0059455C">
            <w:pPr>
              <w:spacing w:after="0" w:line="240" w:lineRule="auto"/>
              <w:jc w:val="center"/>
              <w:rPr>
                <w:rFonts w:ascii="Arial" w:eastAsia="Arial" w:hAnsi="Arial" w:cs="Arial"/>
                <w:b/>
                <w:sz w:val="24"/>
                <w:szCs w:val="24"/>
              </w:rPr>
            </w:pPr>
            <w:r w:rsidRPr="0059455C">
              <w:rPr>
                <w:rFonts w:ascii="Arial" w:eastAsia="Arial" w:hAnsi="Arial" w:cs="Arial"/>
                <w:b/>
                <w:sz w:val="24"/>
                <w:szCs w:val="24"/>
              </w:rPr>
              <w:t>Payment Schedule for Lump Sum Traffic Control</w:t>
            </w:r>
          </w:p>
        </w:tc>
      </w:tr>
      <w:tr w:rsidR="0059455C" w:rsidRPr="0059455C" w:rsidTr="005345E1">
        <w:trPr>
          <w:trHeight w:val="820"/>
          <w:jc w:val="center"/>
        </w:trPr>
        <w:tc>
          <w:tcPr>
            <w:tcW w:w="4320" w:type="dxa"/>
            <w:tcBorders>
              <w:top w:val="single" w:sz="12" w:space="0" w:color="000000"/>
              <w:left w:val="single" w:sz="12" w:space="0" w:color="000000"/>
              <w:bottom w:val="single" w:sz="12"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Percent of</w:t>
            </w:r>
          </w:p>
          <w:p w:rsidR="0059455C" w:rsidRPr="0059455C" w:rsidRDefault="0059455C" w:rsidP="0059455C">
            <w:pPr>
              <w:spacing w:after="0" w:line="240" w:lineRule="auto"/>
              <w:jc w:val="center"/>
              <w:rPr>
                <w:rFonts w:ascii="Arial" w:eastAsia="Arial" w:hAnsi="Arial" w:cs="Arial"/>
                <w:sz w:val="24"/>
                <w:szCs w:val="24"/>
              </w:rPr>
            </w:pPr>
            <w:r w:rsidRPr="0059455C">
              <w:rPr>
                <w:rFonts w:ascii="Arial" w:eastAsia="Arial" w:hAnsi="Arial" w:cs="Arial"/>
                <w:sz w:val="24"/>
                <w:szCs w:val="24"/>
              </w:rPr>
              <w:t xml:space="preserve">Total Contract Amount Earned (Excluding Mobilization </w:t>
            </w:r>
          </w:p>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and Traffic Control)</w:t>
            </w:r>
          </w:p>
        </w:tc>
        <w:tc>
          <w:tcPr>
            <w:tcW w:w="4392" w:type="dxa"/>
            <w:tcBorders>
              <w:top w:val="single" w:sz="12" w:space="0" w:color="000000"/>
              <w:left w:val="nil"/>
              <w:bottom w:val="single" w:sz="12" w:space="0" w:color="000000"/>
              <w:right w:val="single" w:sz="12" w:space="0" w:color="000000"/>
            </w:tcBorders>
          </w:tcPr>
          <w:p w:rsidR="0059455C" w:rsidRPr="0059455C" w:rsidRDefault="0059455C" w:rsidP="0059455C">
            <w:pPr>
              <w:spacing w:after="0" w:line="240" w:lineRule="auto"/>
              <w:jc w:val="center"/>
              <w:rPr>
                <w:rFonts w:ascii="Arial" w:eastAsia="Arial" w:hAnsi="Arial" w:cs="Arial"/>
                <w:sz w:val="24"/>
                <w:szCs w:val="24"/>
              </w:rPr>
            </w:pPr>
            <w:r w:rsidRPr="0059455C">
              <w:rPr>
                <w:rFonts w:ascii="Arial" w:eastAsia="Arial" w:hAnsi="Arial" w:cs="Arial"/>
                <w:sz w:val="24"/>
                <w:szCs w:val="24"/>
              </w:rPr>
              <w:t xml:space="preserve">Allowable Percent </w:t>
            </w:r>
          </w:p>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of Lump Sum Price for</w:t>
            </w:r>
          </w:p>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Maintenance and Protection of Traffic</w:t>
            </w:r>
          </w:p>
        </w:tc>
      </w:tr>
      <w:tr w:rsidR="0059455C" w:rsidRPr="0059455C" w:rsidTr="005345E1">
        <w:trPr>
          <w:trHeight w:val="260"/>
          <w:jc w:val="center"/>
        </w:trPr>
        <w:tc>
          <w:tcPr>
            <w:tcW w:w="4320" w:type="dxa"/>
            <w:tcBorders>
              <w:top w:val="nil"/>
              <w:left w:val="single" w:sz="12" w:space="0" w:color="000000"/>
              <w:bottom w:val="single" w:sz="8" w:space="0" w:color="000000"/>
              <w:right w:val="single" w:sz="8"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5</w:t>
            </w:r>
          </w:p>
        </w:tc>
        <w:tc>
          <w:tcPr>
            <w:tcW w:w="4392" w:type="dxa"/>
            <w:tcBorders>
              <w:top w:val="nil"/>
              <w:left w:val="nil"/>
              <w:bottom w:val="single" w:sz="8"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20</w:t>
            </w:r>
          </w:p>
        </w:tc>
      </w:tr>
      <w:tr w:rsidR="0059455C" w:rsidRPr="0059455C" w:rsidTr="005345E1">
        <w:trPr>
          <w:trHeight w:val="260"/>
          <w:jc w:val="center"/>
        </w:trPr>
        <w:tc>
          <w:tcPr>
            <w:tcW w:w="4320" w:type="dxa"/>
            <w:tcBorders>
              <w:top w:val="nil"/>
              <w:left w:val="single" w:sz="12" w:space="0" w:color="000000"/>
              <w:bottom w:val="single" w:sz="8" w:space="0" w:color="000000"/>
              <w:right w:val="single" w:sz="8"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25</w:t>
            </w:r>
          </w:p>
        </w:tc>
        <w:tc>
          <w:tcPr>
            <w:tcW w:w="4392" w:type="dxa"/>
            <w:tcBorders>
              <w:top w:val="nil"/>
              <w:left w:val="nil"/>
              <w:bottom w:val="single" w:sz="8"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40</w:t>
            </w:r>
          </w:p>
        </w:tc>
      </w:tr>
      <w:tr w:rsidR="0059455C" w:rsidRPr="0059455C" w:rsidTr="005345E1">
        <w:trPr>
          <w:trHeight w:val="260"/>
          <w:jc w:val="center"/>
        </w:trPr>
        <w:tc>
          <w:tcPr>
            <w:tcW w:w="4320" w:type="dxa"/>
            <w:tcBorders>
              <w:top w:val="nil"/>
              <w:left w:val="single" w:sz="12" w:space="0" w:color="000000"/>
              <w:bottom w:val="single" w:sz="8" w:space="0" w:color="000000"/>
              <w:right w:val="single" w:sz="8"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50</w:t>
            </w:r>
          </w:p>
        </w:tc>
        <w:tc>
          <w:tcPr>
            <w:tcW w:w="4392" w:type="dxa"/>
            <w:tcBorders>
              <w:top w:val="nil"/>
              <w:left w:val="nil"/>
              <w:bottom w:val="single" w:sz="8"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60</w:t>
            </w:r>
          </w:p>
        </w:tc>
      </w:tr>
      <w:tr w:rsidR="0059455C" w:rsidRPr="0059455C" w:rsidTr="005345E1">
        <w:trPr>
          <w:trHeight w:val="260"/>
          <w:jc w:val="center"/>
        </w:trPr>
        <w:tc>
          <w:tcPr>
            <w:tcW w:w="4320" w:type="dxa"/>
            <w:tcBorders>
              <w:top w:val="nil"/>
              <w:left w:val="single" w:sz="12" w:space="0" w:color="000000"/>
              <w:bottom w:val="single" w:sz="8" w:space="0" w:color="000000"/>
              <w:right w:val="single" w:sz="8"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75</w:t>
            </w:r>
          </w:p>
        </w:tc>
        <w:tc>
          <w:tcPr>
            <w:tcW w:w="4392" w:type="dxa"/>
            <w:tcBorders>
              <w:top w:val="nil"/>
              <w:left w:val="nil"/>
              <w:bottom w:val="single" w:sz="8"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80</w:t>
            </w:r>
          </w:p>
        </w:tc>
      </w:tr>
      <w:tr w:rsidR="0059455C" w:rsidRPr="0059455C" w:rsidTr="005345E1">
        <w:trPr>
          <w:trHeight w:val="260"/>
          <w:jc w:val="center"/>
        </w:trPr>
        <w:tc>
          <w:tcPr>
            <w:tcW w:w="4320" w:type="dxa"/>
            <w:tcBorders>
              <w:top w:val="nil"/>
              <w:left w:val="single" w:sz="12" w:space="0" w:color="000000"/>
              <w:bottom w:val="single" w:sz="12" w:space="0" w:color="000000"/>
              <w:right w:val="single" w:sz="8"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90*</w:t>
            </w:r>
          </w:p>
        </w:tc>
        <w:tc>
          <w:tcPr>
            <w:tcW w:w="4392" w:type="dxa"/>
            <w:tcBorders>
              <w:top w:val="nil"/>
              <w:left w:val="nil"/>
              <w:bottom w:val="single" w:sz="12" w:space="0" w:color="000000"/>
              <w:right w:val="single" w:sz="12" w:space="0" w:color="000000"/>
            </w:tcBorders>
          </w:tcPr>
          <w:p w:rsidR="0059455C" w:rsidRPr="0059455C" w:rsidRDefault="0059455C" w:rsidP="0059455C">
            <w:pPr>
              <w:spacing w:after="0" w:line="240" w:lineRule="auto"/>
              <w:jc w:val="center"/>
              <w:rPr>
                <w:rFonts w:ascii="Calibri" w:eastAsia="Calibri" w:hAnsi="Calibri" w:cs="Calibri"/>
                <w:sz w:val="24"/>
                <w:szCs w:val="24"/>
              </w:rPr>
            </w:pPr>
            <w:r w:rsidRPr="0059455C">
              <w:rPr>
                <w:rFonts w:ascii="Arial" w:eastAsia="Arial" w:hAnsi="Arial" w:cs="Arial"/>
                <w:sz w:val="24"/>
                <w:szCs w:val="24"/>
              </w:rPr>
              <w:t>100</w:t>
            </w:r>
          </w:p>
        </w:tc>
      </w:tr>
      <w:tr w:rsidR="0059455C" w:rsidRPr="0059455C" w:rsidTr="005345E1">
        <w:trPr>
          <w:trHeight w:val="260"/>
          <w:jc w:val="center"/>
        </w:trPr>
        <w:tc>
          <w:tcPr>
            <w:tcW w:w="8712" w:type="dxa"/>
            <w:gridSpan w:val="2"/>
            <w:tcBorders>
              <w:top w:val="single" w:sz="8" w:space="0" w:color="000000"/>
              <w:left w:val="single" w:sz="12" w:space="0" w:color="000000"/>
              <w:bottom w:val="single" w:sz="12" w:space="0" w:color="000000"/>
              <w:right w:val="single" w:sz="12" w:space="0" w:color="000000"/>
            </w:tcBorders>
          </w:tcPr>
          <w:p w:rsidR="0059455C" w:rsidRPr="0059455C" w:rsidRDefault="0059455C" w:rsidP="0059455C">
            <w:pPr>
              <w:spacing w:after="0" w:line="240" w:lineRule="auto"/>
              <w:rPr>
                <w:rFonts w:ascii="Arial" w:eastAsia="Arial" w:hAnsi="Arial" w:cs="Arial"/>
                <w:sz w:val="24"/>
                <w:szCs w:val="24"/>
              </w:rPr>
            </w:pPr>
            <w:r w:rsidRPr="0059455C">
              <w:rPr>
                <w:rFonts w:ascii="Arial" w:eastAsia="Arial" w:hAnsi="Arial" w:cs="Arial"/>
                <w:sz w:val="24"/>
                <w:szCs w:val="24"/>
              </w:rPr>
              <w:t>*Or substantial completion</w:t>
            </w:r>
          </w:p>
        </w:tc>
      </w:tr>
    </w:tbl>
    <w:p w:rsidR="0059455C" w:rsidRPr="0059455C" w:rsidRDefault="0059455C" w:rsidP="0059455C">
      <w:pPr>
        <w:tabs>
          <w:tab w:val="left" w:pos="360"/>
          <w:tab w:val="left" w:pos="720"/>
          <w:tab w:val="left" w:pos="1267"/>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If the Engineer determines that the final contract amount earned will fall between 75 and 100 percent of the original contract amount, lump sum traffic control will be compensated at 100 percent once final acceptance is achieved.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r w:rsidRPr="0059455C">
        <w:rPr>
          <w:rFonts w:ascii="Arial" w:eastAsia="Arial" w:hAnsi="Arial" w:cs="Arial"/>
          <w:sz w:val="24"/>
          <w:szCs w:val="24"/>
        </w:rPr>
        <w:t xml:space="preserve"> </w:t>
      </w: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 xml:space="preserve">In the event the Department revises the contract in accordance with Subsection 104.02 of the specifications due to a significant change in the character of work, and the revisions impact the Maintenance and Protection of Traffic, the lump sum price for Maintenance and Protection of Traffic will be adjusted as part of the contract revision under the relevant supplemental agreements.  </w:t>
      </w:r>
    </w:p>
    <w:p w:rsidR="0059455C" w:rsidRPr="0059455C" w:rsidRDefault="0059455C" w:rsidP="0059455C">
      <w:pPr>
        <w:spacing w:after="0" w:line="240" w:lineRule="auto"/>
        <w:jc w:val="both"/>
        <w:rPr>
          <w:rFonts w:ascii="Arial" w:eastAsia="Arial" w:hAnsi="Arial" w:cs="Arial"/>
          <w:sz w:val="24"/>
          <w:szCs w:val="24"/>
        </w:rPr>
      </w:pP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No adjustments to the lump sum price for Maintenance and Protection of Traffic will be made for suspension of work for seasonal restrictions.</w:t>
      </w:r>
    </w:p>
    <w:p w:rsidR="0059455C" w:rsidRPr="0059455C" w:rsidRDefault="0059455C" w:rsidP="0059455C">
      <w:pPr>
        <w:spacing w:after="0" w:line="240" w:lineRule="auto"/>
        <w:jc w:val="both"/>
        <w:rPr>
          <w:rFonts w:ascii="Arial" w:eastAsia="Arial" w:hAnsi="Arial" w:cs="Arial"/>
          <w:sz w:val="24"/>
          <w:szCs w:val="24"/>
        </w:rPr>
      </w:pPr>
    </w:p>
    <w:p w:rsidR="0059455C" w:rsidRPr="0059455C" w:rsidRDefault="0059455C" w:rsidP="0059455C">
      <w:pPr>
        <w:spacing w:after="0" w:line="240" w:lineRule="auto"/>
        <w:jc w:val="both"/>
        <w:rPr>
          <w:rFonts w:ascii="Arial" w:eastAsia="Arial" w:hAnsi="Arial" w:cs="Arial"/>
          <w:sz w:val="24"/>
          <w:szCs w:val="24"/>
        </w:rPr>
      </w:pPr>
      <w:r w:rsidRPr="0059455C">
        <w:rPr>
          <w:rFonts w:ascii="Arial" w:eastAsia="Arial" w:hAnsi="Arial" w:cs="Arial"/>
          <w:sz w:val="24"/>
          <w:szCs w:val="24"/>
        </w:rPr>
        <w:t>Revisions in the phasing of construction or maintenance of traffic control operations, requested by the contractor, may require traffic control to be installed in accordance with standards and/or designs other than those included in the plans.  Such revisions or modifications to the traffic control plans shown in the contract shall be submitted by the contractor for approval by the Engineer. No additional payment will be made for the revised plans requested by the contractor.</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90" w:hanging="1890"/>
        <w:jc w:val="both"/>
        <w:rPr>
          <w:rFonts w:ascii="Arial" w:eastAsia="Arial" w:hAnsi="Arial" w:cs="Arial"/>
          <w:sz w:val="24"/>
          <w:szCs w:val="24"/>
        </w:rPr>
      </w:pPr>
      <w:r w:rsidRPr="0059455C">
        <w:rPr>
          <w:rFonts w:ascii="Arial" w:eastAsia="Arial" w:hAnsi="Arial" w:cs="Arial"/>
          <w:b/>
          <w:sz w:val="24"/>
          <w:szCs w:val="24"/>
        </w:rPr>
        <w:t xml:space="preserve">701-5.03 </w:t>
      </w:r>
      <w:r w:rsidRPr="0059455C">
        <w:rPr>
          <w:rFonts w:ascii="Arial" w:eastAsia="Arial" w:hAnsi="Arial" w:cs="Arial"/>
          <w:b/>
          <w:sz w:val="24"/>
          <w:szCs w:val="24"/>
        </w:rPr>
        <w:tab/>
      </w:r>
      <w:r w:rsidRPr="0059455C">
        <w:rPr>
          <w:rFonts w:ascii="Arial" w:eastAsia="Arial" w:hAnsi="Arial" w:cs="Arial"/>
          <w:b/>
          <w:sz w:val="24"/>
          <w:szCs w:val="24"/>
        </w:rPr>
        <w:tab/>
        <w:t xml:space="preserve">Temporary Preformed Markings for Pavement: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 xml:space="preserve">701-5.05 </w:t>
      </w:r>
      <w:r w:rsidRPr="0059455C">
        <w:rPr>
          <w:rFonts w:ascii="Arial" w:eastAsia="Arial" w:hAnsi="Arial" w:cs="Arial"/>
          <w:b/>
          <w:sz w:val="24"/>
          <w:szCs w:val="24"/>
        </w:rPr>
        <w:tab/>
      </w:r>
      <w:r w:rsidRPr="0059455C">
        <w:rPr>
          <w:rFonts w:ascii="Arial" w:eastAsia="Arial" w:hAnsi="Arial" w:cs="Arial"/>
          <w:b/>
          <w:sz w:val="24"/>
          <w:szCs w:val="24"/>
        </w:rPr>
        <w:tab/>
        <w:t xml:space="preserve">Obliterate Pavement </w:t>
      </w:r>
      <w:proofErr w:type="gramStart"/>
      <w:r w:rsidRPr="0059455C">
        <w:rPr>
          <w:rFonts w:ascii="Arial" w:eastAsia="Arial" w:hAnsi="Arial" w:cs="Arial"/>
          <w:b/>
          <w:sz w:val="24"/>
          <w:szCs w:val="24"/>
        </w:rPr>
        <w:t>Marking</w:t>
      </w:r>
      <w:proofErr w:type="gramEnd"/>
      <w:r w:rsidRPr="0059455C">
        <w:rPr>
          <w:rFonts w:ascii="Arial" w:eastAsia="Arial" w:hAnsi="Arial" w:cs="Arial"/>
          <w:b/>
          <w:sz w:val="24"/>
          <w:szCs w:val="24"/>
        </w:rPr>
        <w:t xml:space="preserve">: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 xml:space="preserve">701-5.06 </w:t>
      </w:r>
      <w:r w:rsidRPr="0059455C">
        <w:rPr>
          <w:rFonts w:ascii="Arial" w:eastAsia="Arial" w:hAnsi="Arial" w:cs="Arial"/>
          <w:b/>
          <w:sz w:val="24"/>
          <w:szCs w:val="24"/>
        </w:rPr>
        <w:tab/>
      </w:r>
      <w:r w:rsidRPr="0059455C">
        <w:rPr>
          <w:rFonts w:ascii="Arial" w:eastAsia="Arial" w:hAnsi="Arial" w:cs="Arial"/>
          <w:b/>
          <w:sz w:val="24"/>
          <w:szCs w:val="24"/>
        </w:rPr>
        <w:tab/>
        <w:t xml:space="preserve">Temporary Pavement Markers and Chip Seal Pavement Markers: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 xml:space="preserve">701-5.07 </w:t>
      </w:r>
      <w:r w:rsidRPr="0059455C">
        <w:rPr>
          <w:rFonts w:ascii="Arial" w:eastAsia="Arial" w:hAnsi="Arial" w:cs="Arial"/>
          <w:b/>
          <w:sz w:val="24"/>
          <w:szCs w:val="24"/>
        </w:rPr>
        <w:tab/>
      </w:r>
      <w:r w:rsidRPr="0059455C">
        <w:rPr>
          <w:rFonts w:ascii="Arial" w:eastAsia="Arial" w:hAnsi="Arial" w:cs="Arial"/>
          <w:b/>
          <w:sz w:val="24"/>
          <w:szCs w:val="24"/>
        </w:rPr>
        <w:tab/>
        <w:t xml:space="preserve">Obliterate Pavement Markers: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lastRenderedPageBreak/>
        <w:t xml:space="preserve">701-5.08 </w:t>
      </w:r>
      <w:r w:rsidRPr="0059455C">
        <w:rPr>
          <w:rFonts w:ascii="Arial" w:eastAsia="Arial" w:hAnsi="Arial" w:cs="Arial"/>
          <w:b/>
          <w:sz w:val="24"/>
          <w:szCs w:val="24"/>
        </w:rPr>
        <w:tab/>
      </w:r>
      <w:r w:rsidRPr="0059455C">
        <w:rPr>
          <w:rFonts w:ascii="Arial" w:eastAsia="Arial" w:hAnsi="Arial" w:cs="Arial"/>
          <w:b/>
          <w:sz w:val="24"/>
          <w:szCs w:val="24"/>
        </w:rPr>
        <w:tab/>
        <w:t xml:space="preserve">Temporary Delineators: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701-5.10</w:t>
      </w:r>
      <w:r w:rsidRPr="0059455C">
        <w:rPr>
          <w:rFonts w:ascii="Arial" w:eastAsia="Arial" w:hAnsi="Arial" w:cs="Arial"/>
          <w:b/>
          <w:sz w:val="24"/>
          <w:szCs w:val="24"/>
        </w:rPr>
        <w:tab/>
      </w:r>
      <w:r w:rsidRPr="0059455C">
        <w:rPr>
          <w:rFonts w:ascii="Arial" w:eastAsia="Arial" w:hAnsi="Arial" w:cs="Arial"/>
          <w:b/>
          <w:sz w:val="24"/>
          <w:szCs w:val="24"/>
        </w:rPr>
        <w:tab/>
        <w:t xml:space="preserve">Temporary Removal or Covering of Signs: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701-6.01</w:t>
      </w:r>
      <w:r w:rsidRPr="0059455C">
        <w:rPr>
          <w:rFonts w:ascii="Arial" w:eastAsia="Arial" w:hAnsi="Arial" w:cs="Arial"/>
          <w:b/>
          <w:sz w:val="24"/>
          <w:szCs w:val="24"/>
        </w:rPr>
        <w:tab/>
      </w:r>
      <w:r w:rsidRPr="0059455C">
        <w:rPr>
          <w:rFonts w:ascii="Arial" w:eastAsia="Arial" w:hAnsi="Arial" w:cs="Arial"/>
          <w:b/>
          <w:sz w:val="24"/>
          <w:szCs w:val="24"/>
        </w:rPr>
        <w:tab/>
        <w:t xml:space="preserve">Quantity Variances:  </w:t>
      </w:r>
      <w:r w:rsidRPr="0059455C">
        <w:rPr>
          <w:rFonts w:ascii="Arial" w:eastAsia="Arial" w:hAnsi="Arial" w:cs="Arial"/>
          <w:sz w:val="24"/>
          <w:szCs w:val="24"/>
        </w:rPr>
        <w:t>of the Standard Specifications is revised to read: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90"/>
          <w:tab w:val="left" w:pos="360"/>
          <w:tab w:val="left" w:pos="1267"/>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Payment for variances in quantities of items listed in Subsection 701-4.01 of the specifications shall be in accordance with Subsection 104.02 of the specifications, except that, for decreases in quantities, Temporary Concrete Barrier (In-Use) will be considered as a major item.</w:t>
      </w:r>
    </w:p>
    <w:p w:rsidR="0059455C" w:rsidRPr="0059455C" w:rsidRDefault="0059455C" w:rsidP="0059455C">
      <w:pPr>
        <w:tabs>
          <w:tab w:val="left" w:pos="90"/>
          <w:tab w:val="left" w:pos="360"/>
          <w:tab w:val="left" w:pos="1267"/>
          <w:tab w:val="left" w:pos="2434"/>
          <w:tab w:val="left" w:pos="2880"/>
        </w:tabs>
        <w:spacing w:after="0" w:line="240" w:lineRule="auto"/>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701-6.03</w:t>
      </w:r>
      <w:r w:rsidRPr="0059455C">
        <w:rPr>
          <w:rFonts w:ascii="Arial" w:eastAsia="Arial" w:hAnsi="Arial" w:cs="Arial"/>
          <w:b/>
          <w:sz w:val="24"/>
          <w:szCs w:val="24"/>
        </w:rPr>
        <w:tab/>
      </w:r>
      <w:r w:rsidRPr="0059455C">
        <w:rPr>
          <w:rFonts w:ascii="Arial" w:eastAsia="Arial" w:hAnsi="Arial" w:cs="Arial"/>
          <w:b/>
          <w:sz w:val="24"/>
          <w:szCs w:val="24"/>
        </w:rPr>
        <w:tab/>
        <w:t>Channelization Devices:</w:t>
      </w:r>
      <w:r w:rsidRPr="0059455C">
        <w:rPr>
          <w:rFonts w:ascii="Arial" w:eastAsia="Arial" w:hAnsi="Arial" w:cs="Arial"/>
          <w:b/>
          <w:sz w:val="24"/>
          <w:szCs w:val="24"/>
        </w:rPr>
        <w:tab/>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r w:rsidRPr="0059455C">
        <w:rPr>
          <w:rFonts w:ascii="Arial" w:eastAsia="Arial" w:hAnsi="Arial" w:cs="Arial"/>
          <w:b/>
          <w:sz w:val="24"/>
          <w:szCs w:val="24"/>
        </w:rPr>
        <w:t>701-6.04</w:t>
      </w:r>
      <w:r w:rsidRPr="0059455C">
        <w:rPr>
          <w:rFonts w:ascii="Arial" w:eastAsia="Arial" w:hAnsi="Arial" w:cs="Arial"/>
          <w:b/>
          <w:sz w:val="24"/>
          <w:szCs w:val="24"/>
        </w:rPr>
        <w:tab/>
      </w:r>
      <w:r w:rsidRPr="0059455C">
        <w:rPr>
          <w:rFonts w:ascii="Arial" w:eastAsia="Arial" w:hAnsi="Arial" w:cs="Arial"/>
          <w:b/>
          <w:sz w:val="24"/>
          <w:szCs w:val="24"/>
        </w:rPr>
        <w:tab/>
        <w:t xml:space="preserve">Temporary Signs:  </w:t>
      </w:r>
      <w:r w:rsidRPr="0059455C">
        <w:rPr>
          <w:rFonts w:ascii="Arial" w:eastAsia="Arial" w:hAnsi="Arial" w:cs="Arial"/>
          <w:sz w:val="24"/>
          <w:szCs w:val="24"/>
        </w:rPr>
        <w:t>of the Standard Specifications is hereby deleted.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sz w:val="24"/>
          <w:szCs w:val="24"/>
        </w:rPr>
      </w:pPr>
      <w:proofErr w:type="gramStart"/>
      <w:r w:rsidRPr="0059455C">
        <w:rPr>
          <w:rFonts w:ascii="Arial" w:eastAsia="Arial" w:hAnsi="Arial" w:cs="Arial"/>
          <w:b/>
          <w:sz w:val="24"/>
          <w:szCs w:val="24"/>
        </w:rPr>
        <w:t>701-6.06</w:t>
      </w:r>
      <w:r w:rsidRPr="0059455C">
        <w:rPr>
          <w:rFonts w:ascii="Arial" w:eastAsia="Arial" w:hAnsi="Arial" w:cs="Arial"/>
          <w:b/>
          <w:sz w:val="24"/>
          <w:szCs w:val="24"/>
        </w:rPr>
        <w:tab/>
      </w:r>
      <w:r w:rsidRPr="0059455C">
        <w:rPr>
          <w:rFonts w:ascii="Arial" w:eastAsia="Arial" w:hAnsi="Arial" w:cs="Arial"/>
          <w:b/>
          <w:sz w:val="24"/>
          <w:szCs w:val="24"/>
        </w:rPr>
        <w:tab/>
        <w:t>Flashing-Arrow Panels, and Changeable Message Boards:</w:t>
      </w:r>
      <w:proofErr w:type="gramEnd"/>
      <w:r w:rsidRPr="0059455C">
        <w:rPr>
          <w:rFonts w:ascii="Arial" w:eastAsia="Arial" w:hAnsi="Arial" w:cs="Arial"/>
          <w:b/>
          <w:sz w:val="24"/>
          <w:szCs w:val="24"/>
        </w:rPr>
        <w:t xml:space="preserve"> </w:t>
      </w:r>
      <w:r w:rsidRPr="0059455C">
        <w:rPr>
          <w:rFonts w:ascii="Arial" w:eastAsia="Arial" w:hAnsi="Arial" w:cs="Arial"/>
          <w:sz w:val="24"/>
          <w:szCs w:val="24"/>
        </w:rPr>
        <w:t xml:space="preserve"> the title and text of the Standard Specifications are revised to read:</w:t>
      </w: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ind w:left="1886" w:hanging="1886"/>
        <w:jc w:val="both"/>
        <w:rPr>
          <w:rFonts w:ascii="Arial" w:eastAsia="Arial" w:hAnsi="Arial" w:cs="Arial"/>
          <w:b/>
          <w:sz w:val="24"/>
          <w:szCs w:val="24"/>
        </w:rPr>
      </w:pPr>
      <w:r w:rsidRPr="0059455C">
        <w:rPr>
          <w:rFonts w:ascii="Arial" w:eastAsia="Arial" w:hAnsi="Arial" w:cs="Arial"/>
          <w:b/>
          <w:sz w:val="24"/>
          <w:szCs w:val="24"/>
        </w:rPr>
        <w:t>701-6.06</w:t>
      </w:r>
      <w:r w:rsidRPr="0059455C">
        <w:rPr>
          <w:rFonts w:ascii="Arial" w:eastAsia="Arial" w:hAnsi="Arial" w:cs="Arial"/>
          <w:b/>
          <w:sz w:val="24"/>
          <w:szCs w:val="24"/>
        </w:rPr>
        <w:tab/>
      </w:r>
      <w:r w:rsidRPr="0059455C">
        <w:rPr>
          <w:rFonts w:ascii="Arial" w:eastAsia="Arial" w:hAnsi="Arial" w:cs="Arial"/>
          <w:b/>
          <w:sz w:val="24"/>
          <w:szCs w:val="24"/>
        </w:rPr>
        <w:tab/>
        <w:t>Changeable Message Boards:</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r w:rsidRPr="0059455C">
        <w:rPr>
          <w:rFonts w:ascii="Arial" w:eastAsia="Arial" w:hAnsi="Arial" w:cs="Arial"/>
          <w:sz w:val="24"/>
          <w:szCs w:val="24"/>
        </w:rPr>
        <w:t>The accepted quantities of changeable message boards, measured as provided above, will be paid for at the unit bid price per day, which price shall be full compensation for the work, complete, including any grading and furnishing, operating, maintaining, and relocating the boards on the work site.</w:t>
      </w:r>
    </w:p>
    <w:p w:rsidR="0059455C" w:rsidRPr="0059455C" w:rsidRDefault="0059455C" w:rsidP="0059455C">
      <w:pPr>
        <w:tabs>
          <w:tab w:val="left" w:pos="720"/>
          <w:tab w:val="left" w:pos="1267"/>
          <w:tab w:val="left" w:pos="1886"/>
          <w:tab w:val="left" w:pos="2434"/>
          <w:tab w:val="left" w:pos="2880"/>
        </w:tabs>
        <w:spacing w:after="0" w:line="240" w:lineRule="auto"/>
        <w:jc w:val="both"/>
        <w:rPr>
          <w:rFonts w:ascii="Arial" w:eastAsia="Arial" w:hAnsi="Arial" w:cs="Arial"/>
          <w:sz w:val="24"/>
          <w:szCs w:val="24"/>
        </w:rPr>
      </w:pPr>
    </w:p>
    <w:p w:rsidR="008F4622" w:rsidRDefault="00A74A38"/>
    <w:sectPr w:rsidR="008F4622">
      <w:headerReference w:type="default" r:id="rId8"/>
      <w:footerReference w:type="default" r:id="rId9"/>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656" w:rsidRDefault="008D425E">
      <w:pPr>
        <w:spacing w:after="0" w:line="240" w:lineRule="auto"/>
      </w:pPr>
      <w:r>
        <w:separator/>
      </w:r>
    </w:p>
  </w:endnote>
  <w:endnote w:type="continuationSeparator" w:id="0">
    <w:p w:rsidR="000A3656" w:rsidRDefault="008D4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DED" w:rsidRPr="00B23DED" w:rsidRDefault="0059455C">
    <w:pPr>
      <w:pStyle w:val="Footer"/>
      <w:jc w:val="right"/>
      <w:rPr>
        <w:sz w:val="18"/>
      </w:rPr>
    </w:pPr>
    <w:r w:rsidRPr="00B23DED">
      <w:rPr>
        <w:sz w:val="18"/>
      </w:rPr>
      <w:t>701</w:t>
    </w:r>
    <w:r>
      <w:rPr>
        <w:sz w:val="18"/>
      </w:rPr>
      <w:t xml:space="preserve"> </w:t>
    </w:r>
    <w:r w:rsidRPr="00B23DED">
      <w:rPr>
        <w:sz w:val="18"/>
      </w:rPr>
      <w:t xml:space="preserve">LUMPSUM - </w:t>
    </w:r>
    <w:sdt>
      <w:sdtPr>
        <w:rPr>
          <w:sz w:val="18"/>
        </w:rPr>
        <w:id w:val="-619680232"/>
        <w:docPartObj>
          <w:docPartGallery w:val="Page Numbers (Bottom of Page)"/>
          <w:docPartUnique/>
        </w:docPartObj>
      </w:sdtPr>
      <w:sdtEndPr>
        <w:rPr>
          <w:noProof/>
        </w:rPr>
      </w:sdtEndPr>
      <w:sdtContent>
        <w:r w:rsidRPr="00B23DED">
          <w:rPr>
            <w:sz w:val="18"/>
          </w:rPr>
          <w:fldChar w:fldCharType="begin"/>
        </w:r>
        <w:r w:rsidRPr="00B23DED">
          <w:rPr>
            <w:sz w:val="18"/>
          </w:rPr>
          <w:instrText xml:space="preserve"> PAGE   \* MERGEFORMAT </w:instrText>
        </w:r>
        <w:r w:rsidRPr="00B23DED">
          <w:rPr>
            <w:sz w:val="18"/>
          </w:rPr>
          <w:fldChar w:fldCharType="separate"/>
        </w:r>
        <w:r w:rsidR="00A74A38">
          <w:rPr>
            <w:noProof/>
            <w:sz w:val="18"/>
          </w:rPr>
          <w:t>2</w:t>
        </w:r>
        <w:r w:rsidRPr="00B23DED">
          <w:rPr>
            <w:noProof/>
            <w:sz w:val="18"/>
          </w:rPr>
          <w:fldChar w:fldCharType="end"/>
        </w:r>
        <w:r w:rsidRPr="00B23DED">
          <w:rPr>
            <w:noProof/>
            <w:sz w:val="18"/>
          </w:rPr>
          <w:t>/4</w:t>
        </w:r>
      </w:sdtContent>
    </w:sdt>
  </w:p>
  <w:p w:rsidR="00B23DED" w:rsidRDefault="00A74A38">
    <w:pPr>
      <w:pBdr>
        <w:top w:val="nil"/>
        <w:left w:val="nil"/>
        <w:bottom w:val="nil"/>
        <w:right w:val="nil"/>
        <w:between w:val="nil"/>
      </w:pBdr>
      <w:tabs>
        <w:tab w:val="center" w:pos="4320"/>
        <w:tab w:val="right" w:pos="8640"/>
      </w:tabs>
      <w:jc w:val="center"/>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656" w:rsidRDefault="008D425E">
      <w:pPr>
        <w:spacing w:after="0" w:line="240" w:lineRule="auto"/>
      </w:pPr>
      <w:r>
        <w:separator/>
      </w:r>
    </w:p>
  </w:footnote>
  <w:footnote w:type="continuationSeparator" w:id="0">
    <w:p w:rsidR="000A3656" w:rsidRDefault="008D42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DED" w:rsidRPr="000625C5" w:rsidRDefault="00A74A38">
    <w:pPr>
      <w:pBdr>
        <w:top w:val="nil"/>
        <w:left w:val="nil"/>
        <w:bottom w:val="nil"/>
        <w:right w:val="nil"/>
        <w:between w:val="nil"/>
      </w:pBdr>
      <w:tabs>
        <w:tab w:val="center" w:pos="4320"/>
        <w:tab w:val="right" w:pos="8640"/>
      </w:tabs>
      <w:rPr>
        <w:rFonts w:ascii="Arial" w:hAnsi="Arial" w:cs="Arial"/>
        <w:b/>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5B86"/>
    <w:multiLevelType w:val="multilevel"/>
    <w:tmpl w:val="FD88D0EC"/>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55C"/>
    <w:rsid w:val="000625C5"/>
    <w:rsid w:val="000A3656"/>
    <w:rsid w:val="00474BC8"/>
    <w:rsid w:val="0059455C"/>
    <w:rsid w:val="005B7646"/>
    <w:rsid w:val="008D425E"/>
    <w:rsid w:val="00A74A38"/>
    <w:rsid w:val="00BA6AD2"/>
    <w:rsid w:val="00F26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4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55C"/>
  </w:style>
  <w:style w:type="paragraph" w:styleId="Header">
    <w:name w:val="header"/>
    <w:basedOn w:val="Normal"/>
    <w:link w:val="HeaderChar"/>
    <w:uiPriority w:val="99"/>
    <w:unhideWhenUsed/>
    <w:rsid w:val="005945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55C"/>
  </w:style>
  <w:style w:type="character" w:styleId="CommentReference">
    <w:name w:val="annotation reference"/>
    <w:basedOn w:val="DefaultParagraphFont"/>
    <w:uiPriority w:val="99"/>
    <w:semiHidden/>
    <w:unhideWhenUsed/>
    <w:rsid w:val="0059455C"/>
    <w:rPr>
      <w:sz w:val="16"/>
      <w:szCs w:val="16"/>
    </w:rPr>
  </w:style>
  <w:style w:type="paragraph" w:styleId="CommentText">
    <w:name w:val="annotation text"/>
    <w:basedOn w:val="Normal"/>
    <w:link w:val="CommentTextChar"/>
    <w:uiPriority w:val="99"/>
    <w:semiHidden/>
    <w:unhideWhenUsed/>
    <w:rsid w:val="0059455C"/>
    <w:pPr>
      <w:spacing w:line="240" w:lineRule="auto"/>
    </w:pPr>
    <w:rPr>
      <w:sz w:val="20"/>
      <w:szCs w:val="20"/>
    </w:rPr>
  </w:style>
  <w:style w:type="character" w:customStyle="1" w:styleId="CommentTextChar">
    <w:name w:val="Comment Text Char"/>
    <w:basedOn w:val="DefaultParagraphFont"/>
    <w:link w:val="CommentText"/>
    <w:uiPriority w:val="99"/>
    <w:semiHidden/>
    <w:rsid w:val="0059455C"/>
    <w:rPr>
      <w:sz w:val="20"/>
      <w:szCs w:val="20"/>
    </w:rPr>
  </w:style>
  <w:style w:type="paragraph" w:styleId="CommentSubject">
    <w:name w:val="annotation subject"/>
    <w:basedOn w:val="CommentText"/>
    <w:next w:val="CommentText"/>
    <w:link w:val="CommentSubjectChar"/>
    <w:uiPriority w:val="99"/>
    <w:semiHidden/>
    <w:unhideWhenUsed/>
    <w:rsid w:val="0059455C"/>
    <w:rPr>
      <w:b/>
      <w:bCs/>
    </w:rPr>
  </w:style>
  <w:style w:type="character" w:customStyle="1" w:styleId="CommentSubjectChar">
    <w:name w:val="Comment Subject Char"/>
    <w:basedOn w:val="CommentTextChar"/>
    <w:link w:val="CommentSubject"/>
    <w:uiPriority w:val="99"/>
    <w:semiHidden/>
    <w:rsid w:val="0059455C"/>
    <w:rPr>
      <w:b/>
      <w:bCs/>
      <w:sz w:val="20"/>
      <w:szCs w:val="20"/>
    </w:rPr>
  </w:style>
  <w:style w:type="paragraph" w:styleId="BalloonText">
    <w:name w:val="Balloon Text"/>
    <w:basedOn w:val="Normal"/>
    <w:link w:val="BalloonTextChar"/>
    <w:uiPriority w:val="99"/>
    <w:semiHidden/>
    <w:unhideWhenUsed/>
    <w:rsid w:val="005945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5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4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55C"/>
  </w:style>
  <w:style w:type="paragraph" w:styleId="Header">
    <w:name w:val="header"/>
    <w:basedOn w:val="Normal"/>
    <w:link w:val="HeaderChar"/>
    <w:uiPriority w:val="99"/>
    <w:unhideWhenUsed/>
    <w:rsid w:val="005945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55C"/>
  </w:style>
  <w:style w:type="character" w:styleId="CommentReference">
    <w:name w:val="annotation reference"/>
    <w:basedOn w:val="DefaultParagraphFont"/>
    <w:uiPriority w:val="99"/>
    <w:semiHidden/>
    <w:unhideWhenUsed/>
    <w:rsid w:val="0059455C"/>
    <w:rPr>
      <w:sz w:val="16"/>
      <w:szCs w:val="16"/>
    </w:rPr>
  </w:style>
  <w:style w:type="paragraph" w:styleId="CommentText">
    <w:name w:val="annotation text"/>
    <w:basedOn w:val="Normal"/>
    <w:link w:val="CommentTextChar"/>
    <w:uiPriority w:val="99"/>
    <w:semiHidden/>
    <w:unhideWhenUsed/>
    <w:rsid w:val="0059455C"/>
    <w:pPr>
      <w:spacing w:line="240" w:lineRule="auto"/>
    </w:pPr>
    <w:rPr>
      <w:sz w:val="20"/>
      <w:szCs w:val="20"/>
    </w:rPr>
  </w:style>
  <w:style w:type="character" w:customStyle="1" w:styleId="CommentTextChar">
    <w:name w:val="Comment Text Char"/>
    <w:basedOn w:val="DefaultParagraphFont"/>
    <w:link w:val="CommentText"/>
    <w:uiPriority w:val="99"/>
    <w:semiHidden/>
    <w:rsid w:val="0059455C"/>
    <w:rPr>
      <w:sz w:val="20"/>
      <w:szCs w:val="20"/>
    </w:rPr>
  </w:style>
  <w:style w:type="paragraph" w:styleId="CommentSubject">
    <w:name w:val="annotation subject"/>
    <w:basedOn w:val="CommentText"/>
    <w:next w:val="CommentText"/>
    <w:link w:val="CommentSubjectChar"/>
    <w:uiPriority w:val="99"/>
    <w:semiHidden/>
    <w:unhideWhenUsed/>
    <w:rsid w:val="0059455C"/>
    <w:rPr>
      <w:b/>
      <w:bCs/>
    </w:rPr>
  </w:style>
  <w:style w:type="character" w:customStyle="1" w:styleId="CommentSubjectChar">
    <w:name w:val="Comment Subject Char"/>
    <w:basedOn w:val="CommentTextChar"/>
    <w:link w:val="CommentSubject"/>
    <w:uiPriority w:val="99"/>
    <w:semiHidden/>
    <w:rsid w:val="0059455C"/>
    <w:rPr>
      <w:b/>
      <w:bCs/>
      <w:sz w:val="20"/>
      <w:szCs w:val="20"/>
    </w:rPr>
  </w:style>
  <w:style w:type="paragraph" w:styleId="BalloonText">
    <w:name w:val="Balloon Text"/>
    <w:basedOn w:val="Normal"/>
    <w:link w:val="BalloonTextChar"/>
    <w:uiPriority w:val="99"/>
    <w:semiHidden/>
    <w:unhideWhenUsed/>
    <w:rsid w:val="005945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5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1141</Words>
  <Characters>6505</Characters>
  <Application>Microsoft Office Word</Application>
  <DocSecurity>0</DocSecurity>
  <Lines>54</Lines>
  <Paragraphs>15</Paragraphs>
  <ScaleCrop>false</ScaleCrop>
  <Company>ADOT</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6</cp:revision>
  <dcterms:created xsi:type="dcterms:W3CDTF">2024-01-04T00:03:00Z</dcterms:created>
  <dcterms:modified xsi:type="dcterms:W3CDTF">2025-04-14T22:47:00Z</dcterms:modified>
</cp:coreProperties>
</file>